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50" w:lineRule="atLeast"/>
        <w:ind w:left="0" w:right="0"/>
        <w:jc w:val="center"/>
        <w:rPr>
          <w:rFonts w:ascii="黑体" w:hAnsi="宋体" w:eastAsia="黑体" w:cs="黑体"/>
          <w:b w:val="0"/>
          <w:i w:val="0"/>
          <w:caps w:val="0"/>
          <w:color w:val="666666"/>
          <w:spacing w:val="0"/>
          <w:sz w:val="31"/>
          <w:szCs w:val="31"/>
          <w:bdr w:val="none" w:color="auto" w:sz="0" w:space="0"/>
          <w:shd w:val="clear" w:fill="FFFFFF"/>
        </w:rPr>
      </w:pPr>
      <w:r>
        <w:rPr>
          <w:i w:val="0"/>
          <w:caps w:val="0"/>
          <w:color w:val="000000" w:themeColor="text1"/>
          <w:spacing w:val="0"/>
          <w:sz w:val="45"/>
          <w:szCs w:val="45"/>
          <w:bdr w:val="none" w:color="auto" w:sz="0" w:space="0"/>
          <w:shd w:val="clear" w:fill="FFFFFF"/>
          <w14:textFill>
            <w14:solidFill>
              <w14:schemeClr w14:val="tx1"/>
            </w14:solidFill>
          </w14:textFill>
        </w:rPr>
        <w:t>执法案卷管理制度</w:t>
      </w:r>
      <w:r>
        <w:rPr>
          <w:rFonts w:ascii="仿宋_GB2312" w:hAnsi="微软雅黑" w:eastAsia="仿宋_GB2312" w:cs="仿宋_GB2312"/>
          <w:b w:val="0"/>
          <w:i w:val="0"/>
          <w:caps w:val="0"/>
          <w:color w:val="000000" w:themeColor="text1"/>
          <w:spacing w:val="0"/>
          <w:sz w:val="31"/>
          <w:szCs w:val="31"/>
          <w:bdr w:val="none" w:color="auto" w:sz="0" w:space="0"/>
          <w:shd w:val="clear" w:fill="FFFFFF"/>
          <w14:textFill>
            <w14:solidFill>
              <w14:schemeClr w14:val="tx1"/>
            </w14:solidFill>
          </w14:textFill>
        </w:rPr>
        <w:t>   </w:t>
      </w:r>
      <w:r>
        <w:rPr>
          <w:rFonts w:ascii="黑体" w:hAnsi="宋体" w:eastAsia="黑体" w:cs="黑体"/>
          <w:b w:val="0"/>
          <w:i w:val="0"/>
          <w:caps w:val="0"/>
          <w:color w:val="666666"/>
          <w:spacing w:val="0"/>
          <w:sz w:val="31"/>
          <w:szCs w:val="3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50" w:lineRule="atLeast"/>
        <w:ind w:left="0" w:right="0"/>
        <w:jc w:val="center"/>
        <w:rPr>
          <w:rFonts w:hint="default" w:ascii="仿宋_GB2312" w:hAnsi="微软雅黑" w:eastAsia="仿宋_GB2312" w:cs="仿宋_GB2312"/>
          <w:b w:val="0"/>
          <w:i w:val="0"/>
          <w:caps w:val="0"/>
          <w:color w:val="666666"/>
          <w:spacing w:val="0"/>
          <w:sz w:val="28"/>
          <w:szCs w:val="28"/>
          <w:bdr w:val="none" w:color="auto" w:sz="0" w:space="0"/>
          <w:shd w:val="clear" w:fill="FFFFFF"/>
        </w:rPr>
      </w:pPr>
      <w:r>
        <w:rPr>
          <w:rStyle w:val="6"/>
          <w:rFonts w:hint="eastAsia" w:ascii="黑体" w:hAnsi="宋体" w:eastAsia="黑体" w:cs="黑体"/>
          <w:b/>
          <w:i w:val="0"/>
          <w:caps w:val="0"/>
          <w:color w:val="666666"/>
          <w:spacing w:val="0"/>
          <w:sz w:val="28"/>
          <w:szCs w:val="28"/>
          <w:bdr w:val="none" w:color="auto" w:sz="0" w:space="0"/>
          <w:shd w:val="clear" w:fill="FFFFFF"/>
        </w:rPr>
        <w:t>第一条</w:t>
      </w:r>
      <w:r>
        <w:rPr>
          <w:rFonts w:hint="default" w:ascii="仿宋_GB2312" w:hAnsi="微软雅黑" w:eastAsia="仿宋_GB2312" w:cs="仿宋_GB2312"/>
          <w:b w:val="0"/>
          <w:i w:val="0"/>
          <w:caps w:val="0"/>
          <w:color w:val="666666"/>
          <w:spacing w:val="0"/>
          <w:sz w:val="28"/>
          <w:szCs w:val="28"/>
          <w:bdr w:val="none" w:color="auto" w:sz="0" w:space="0"/>
          <w:shd w:val="clear" w:fill="FFFFFF"/>
        </w:rPr>
        <w:t> 为加强行政执法案卷管理，进一步规范行政行为，提高行政</w:t>
      </w:r>
      <w:bookmarkStart w:id="0" w:name="_GoBack"/>
      <w:bookmarkEnd w:id="0"/>
      <w:r>
        <w:rPr>
          <w:rFonts w:hint="default" w:ascii="仿宋_GB2312" w:hAnsi="微软雅黑" w:eastAsia="仿宋_GB2312" w:cs="仿宋_GB2312"/>
          <w:b w:val="0"/>
          <w:i w:val="0"/>
          <w:caps w:val="0"/>
          <w:color w:val="666666"/>
          <w:spacing w:val="0"/>
          <w:sz w:val="28"/>
          <w:szCs w:val="28"/>
          <w:bdr w:val="none" w:color="auto" w:sz="0" w:space="0"/>
          <w:shd w:val="clear" w:fill="FFFFFF"/>
        </w:rPr>
        <w:t>执法水平，根据《中华人民共和国档案法》，结合我</w:t>
      </w:r>
      <w:r>
        <w:rPr>
          <w:rFonts w:hint="eastAsia" w:ascii="仿宋_GB2312" w:hAnsi="微软雅黑" w:eastAsia="仿宋_GB2312" w:cs="仿宋_GB2312"/>
          <w:b w:val="0"/>
          <w:i w:val="0"/>
          <w:caps w:val="0"/>
          <w:color w:val="666666"/>
          <w:spacing w:val="0"/>
          <w:sz w:val="28"/>
          <w:szCs w:val="28"/>
          <w:bdr w:val="none" w:color="auto" w:sz="0" w:space="0"/>
          <w:shd w:val="clear" w:fill="FFFFFF"/>
          <w:lang w:eastAsia="zh-CN"/>
        </w:rPr>
        <w:t>局</w:t>
      </w:r>
      <w:r>
        <w:rPr>
          <w:rFonts w:hint="default" w:ascii="仿宋_GB2312" w:hAnsi="微软雅黑" w:eastAsia="仿宋_GB2312" w:cs="仿宋_GB2312"/>
          <w:b w:val="0"/>
          <w:i w:val="0"/>
          <w:caps w:val="0"/>
          <w:color w:val="666666"/>
          <w:spacing w:val="0"/>
          <w:sz w:val="28"/>
          <w:szCs w:val="28"/>
          <w:bdr w:val="none" w:color="auto" w:sz="0" w:space="0"/>
          <w:shd w:val="clear" w:fill="FFFFFF"/>
        </w:rPr>
        <w:t>执法工作实际，制定本制度。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50" w:lineRule="atLeast"/>
        <w:ind w:left="0" w:right="0"/>
        <w:jc w:val="center"/>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Fonts w:hint="eastAsia" w:ascii="黑体" w:hAnsi="宋体" w:eastAsia="黑体" w:cs="黑体"/>
          <w:b w:val="0"/>
          <w:i w:val="0"/>
          <w:caps w:val="0"/>
          <w:color w:val="666666"/>
          <w:spacing w:val="0"/>
          <w:sz w:val="31"/>
          <w:szCs w:val="31"/>
          <w:bdr w:val="none" w:color="auto" w:sz="0" w:space="0"/>
          <w:shd w:val="clear" w:fill="FFFFFF"/>
        </w:rPr>
        <w:t>第二条</w:t>
      </w: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Fonts w:hint="eastAsia" w:ascii="仿宋_GB2312" w:hAnsi="微软雅黑" w:eastAsia="仿宋_GB2312" w:cs="仿宋_GB2312"/>
          <w:b w:val="0"/>
          <w:i w:val="0"/>
          <w:caps w:val="0"/>
          <w:color w:val="666666"/>
          <w:spacing w:val="0"/>
          <w:sz w:val="31"/>
          <w:szCs w:val="31"/>
          <w:bdr w:val="none" w:color="auto" w:sz="0" w:space="0"/>
          <w:shd w:val="clear" w:fill="FFFFFF"/>
          <w:lang w:eastAsia="zh-CN"/>
        </w:rPr>
        <w:t>教育局</w:t>
      </w:r>
      <w:r>
        <w:rPr>
          <w:rFonts w:hint="default" w:ascii="仿宋_GB2312" w:hAnsi="微软雅黑" w:eastAsia="仿宋_GB2312" w:cs="仿宋_GB2312"/>
          <w:b w:val="0"/>
          <w:i w:val="0"/>
          <w:caps w:val="0"/>
          <w:color w:val="666666"/>
          <w:spacing w:val="0"/>
          <w:sz w:val="31"/>
          <w:szCs w:val="31"/>
          <w:bdr w:val="none" w:color="auto" w:sz="0" w:space="0"/>
          <w:shd w:val="clear" w:fill="FFFFFF"/>
        </w:rPr>
        <w:t>及执法人员实施具体行政行为形成的各类执法文书均按本制度进行管理。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366"/>
        <w:jc w:val="both"/>
        <w:rPr>
          <w:rFonts w:hint="default" w:ascii="仿宋_GB2312" w:hAnsi="微软雅黑" w:eastAsia="仿宋_GB2312" w:cs="仿宋_GB2312"/>
          <w:b w:val="0"/>
          <w:i w:val="0"/>
          <w:caps w:val="0"/>
          <w:color w:val="666666"/>
          <w:spacing w:val="0"/>
          <w:sz w:val="31"/>
          <w:szCs w:val="31"/>
          <w:bdr w:val="none" w:color="auto" w:sz="0" w:space="0"/>
          <w:shd w:val="clear" w:fill="FFFFFF"/>
        </w:rPr>
      </w:pPr>
      <w:r>
        <w:rPr>
          <w:rStyle w:val="6"/>
          <w:rFonts w:hint="eastAsia" w:ascii="黑体" w:hAnsi="宋体" w:eastAsia="黑体" w:cs="黑体"/>
          <w:i w:val="0"/>
          <w:caps w:val="0"/>
          <w:color w:val="666666"/>
          <w:spacing w:val="0"/>
          <w:sz w:val="31"/>
          <w:szCs w:val="31"/>
          <w:bdr w:val="none" w:color="auto" w:sz="0" w:space="0"/>
          <w:shd w:val="clear" w:fill="FFFFFF"/>
        </w:rPr>
        <w:t>第三条</w:t>
      </w: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Fonts w:hint="eastAsia" w:ascii="仿宋_GB2312" w:hAnsi="微软雅黑" w:eastAsia="仿宋_GB2312" w:cs="仿宋_GB2312"/>
          <w:b w:val="0"/>
          <w:i w:val="0"/>
          <w:caps w:val="0"/>
          <w:color w:val="666666"/>
          <w:spacing w:val="0"/>
          <w:sz w:val="31"/>
          <w:szCs w:val="31"/>
          <w:bdr w:val="none" w:color="auto" w:sz="0" w:space="0"/>
          <w:shd w:val="clear" w:fill="FFFFFF"/>
          <w:lang w:eastAsia="zh-CN"/>
        </w:rPr>
        <w:t>教育局</w:t>
      </w:r>
      <w:r>
        <w:rPr>
          <w:rFonts w:hint="default" w:ascii="仿宋_GB2312" w:hAnsi="微软雅黑" w:eastAsia="仿宋_GB2312" w:cs="仿宋_GB2312"/>
          <w:b w:val="0"/>
          <w:i w:val="0"/>
          <w:caps w:val="0"/>
          <w:color w:val="666666"/>
          <w:spacing w:val="0"/>
          <w:sz w:val="31"/>
          <w:szCs w:val="31"/>
          <w:bdr w:val="none" w:color="auto" w:sz="0" w:space="0"/>
          <w:shd w:val="clear" w:fill="FFFFFF"/>
        </w:rPr>
        <w:t>指导执法案卷的管理工作。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366"/>
        <w:jc w:val="both"/>
        <w:rPr>
          <w:color w:val="666666"/>
          <w:sz w:val="22"/>
          <w:szCs w:val="22"/>
        </w:rPr>
      </w:pPr>
      <w:r>
        <w:rPr>
          <w:rFonts w:hint="eastAsia" w:ascii="仿宋_GB2312" w:hAnsi="微软雅黑" w:eastAsia="仿宋_GB2312" w:cs="仿宋_GB2312"/>
          <w:b w:val="0"/>
          <w:i w:val="0"/>
          <w:caps w:val="0"/>
          <w:color w:val="666666"/>
          <w:spacing w:val="0"/>
          <w:sz w:val="31"/>
          <w:szCs w:val="31"/>
          <w:bdr w:val="none" w:color="auto" w:sz="0" w:space="0"/>
          <w:shd w:val="clear" w:fill="FFFFFF"/>
          <w:lang w:eastAsia="zh-CN"/>
        </w:rPr>
        <w:t>教育局</w:t>
      </w:r>
      <w:r>
        <w:rPr>
          <w:rFonts w:hint="default" w:ascii="仿宋_GB2312" w:hAnsi="微软雅黑" w:eastAsia="仿宋_GB2312" w:cs="仿宋_GB2312"/>
          <w:b w:val="0"/>
          <w:i w:val="0"/>
          <w:caps w:val="0"/>
          <w:color w:val="666666"/>
          <w:spacing w:val="0"/>
          <w:sz w:val="31"/>
          <w:szCs w:val="31"/>
          <w:bdr w:val="none" w:color="auto" w:sz="0" w:space="0"/>
          <w:shd w:val="clear" w:fill="FFFFFF"/>
        </w:rPr>
        <w:t>行政执法科室应当明确一名负责人主管此项工作，负责日常的案卷管理。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第四条</w:t>
      </w:r>
      <w:r>
        <w:rPr>
          <w:rFonts w:hint="default" w:ascii="仿宋_GB2312" w:hAnsi="微软雅黑" w:eastAsia="仿宋_GB2312" w:cs="仿宋_GB2312"/>
          <w:b w:val="0"/>
          <w:i w:val="0"/>
          <w:caps w:val="0"/>
          <w:color w:val="666666"/>
          <w:spacing w:val="0"/>
          <w:sz w:val="31"/>
          <w:szCs w:val="31"/>
          <w:bdr w:val="none" w:color="auto" w:sz="0" w:space="0"/>
          <w:shd w:val="clear" w:fill="FFFFFF"/>
        </w:rPr>
        <w:t> 执法台账和法律文书的制作必须符合法律规定，主旨鲜明，材料客观，全面且能够证明违法行为的具体情形。文字解释单一，符合法定权限和程序的要求。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第五条</w:t>
      </w:r>
      <w:r>
        <w:rPr>
          <w:rFonts w:hint="default" w:ascii="仿宋_GB2312" w:hAnsi="微软雅黑" w:eastAsia="仿宋_GB2312" w:cs="仿宋_GB2312"/>
          <w:b w:val="0"/>
          <w:i w:val="0"/>
          <w:caps w:val="0"/>
          <w:color w:val="666666"/>
          <w:spacing w:val="0"/>
          <w:sz w:val="31"/>
          <w:szCs w:val="31"/>
          <w:bdr w:val="none" w:color="auto" w:sz="0" w:space="0"/>
          <w:shd w:val="clear" w:fill="FFFFFF"/>
        </w:rPr>
        <w:t> 执法台账、笔录类文书必须客观真实地反映执法活动的情况，证明违法行为的发生及社会危害程度;做到文字清晰纸面干净，标点符号正确，按规定签属姓名、意见及时间，不得随意取舍、修改。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 第六条</w:t>
      </w:r>
      <w:r>
        <w:rPr>
          <w:rFonts w:hint="default" w:ascii="仿宋_GB2312" w:hAnsi="微软雅黑" w:eastAsia="仿宋_GB2312" w:cs="仿宋_GB2312"/>
          <w:b w:val="0"/>
          <w:i w:val="0"/>
          <w:caps w:val="0"/>
          <w:color w:val="666666"/>
          <w:spacing w:val="0"/>
          <w:sz w:val="31"/>
          <w:szCs w:val="31"/>
          <w:bdr w:val="none" w:color="auto" w:sz="0" w:space="0"/>
          <w:shd w:val="clear" w:fill="FFFFFF"/>
        </w:rPr>
        <w:t> 呈报审批类文书必须简要表述请批事项及呈报人的倾向性意见。审批应针对呈报事项，用词准确，审批人应在批文上签属姓名及时间。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第七条</w:t>
      </w:r>
      <w:r>
        <w:rPr>
          <w:rFonts w:hint="default" w:ascii="仿宋_GB2312" w:hAnsi="微软雅黑" w:eastAsia="仿宋_GB2312" w:cs="仿宋_GB2312"/>
          <w:b w:val="0"/>
          <w:i w:val="0"/>
          <w:caps w:val="0"/>
          <w:color w:val="666666"/>
          <w:spacing w:val="0"/>
          <w:sz w:val="31"/>
          <w:szCs w:val="31"/>
          <w:bdr w:val="none" w:color="auto" w:sz="0" w:space="0"/>
          <w:shd w:val="clear" w:fill="FFFFFF"/>
        </w:rPr>
        <w:t> 处理类文书必须以</w:t>
      </w:r>
      <w:r>
        <w:rPr>
          <w:rFonts w:hint="eastAsia" w:ascii="仿宋_GB2312" w:hAnsi="微软雅黑" w:eastAsia="仿宋_GB2312" w:cs="仿宋_GB2312"/>
          <w:b w:val="0"/>
          <w:i w:val="0"/>
          <w:caps w:val="0"/>
          <w:color w:val="666666"/>
          <w:spacing w:val="0"/>
          <w:sz w:val="31"/>
          <w:szCs w:val="31"/>
          <w:bdr w:val="none" w:color="auto" w:sz="0" w:space="0"/>
          <w:shd w:val="clear" w:fill="FFFFFF"/>
          <w:lang w:eastAsia="zh-CN"/>
        </w:rPr>
        <w:t>教育局</w:t>
      </w:r>
      <w:r>
        <w:rPr>
          <w:rFonts w:hint="default" w:ascii="仿宋_GB2312" w:hAnsi="微软雅黑" w:eastAsia="仿宋_GB2312" w:cs="仿宋_GB2312"/>
          <w:b w:val="0"/>
          <w:i w:val="0"/>
          <w:caps w:val="0"/>
          <w:color w:val="666666"/>
          <w:spacing w:val="0"/>
          <w:sz w:val="31"/>
          <w:szCs w:val="31"/>
          <w:bdr w:val="none" w:color="auto" w:sz="0" w:space="0"/>
          <w:shd w:val="clear" w:fill="FFFFFF"/>
        </w:rPr>
        <w:t>的名义作出，标题和文件编号齐备;表述相对人基本情况，违法事实和证据，行政处罚的依据、种类、罚款数额、处理结论必须确切;引用法律、法规、规章条、款、项、目必须正确，不得简化;必须载明相对人履行决定的期限，并告知复议、诉讼权利和期限;行政处罚符合听证要求的应告知听证权利;行政处罚决定书落款应载明发文日期(采用中文小写)，并加盖</w:t>
      </w:r>
      <w:r>
        <w:rPr>
          <w:rFonts w:hint="eastAsia" w:ascii="仿宋_GB2312" w:hAnsi="微软雅黑" w:eastAsia="仿宋_GB2312" w:cs="仿宋_GB2312"/>
          <w:b w:val="0"/>
          <w:i w:val="0"/>
          <w:caps w:val="0"/>
          <w:color w:val="666666"/>
          <w:spacing w:val="0"/>
          <w:sz w:val="31"/>
          <w:szCs w:val="31"/>
          <w:bdr w:val="none" w:color="auto" w:sz="0" w:space="0"/>
          <w:shd w:val="clear" w:fill="FFFFFF"/>
          <w:lang w:eastAsia="zh-CN"/>
        </w:rPr>
        <w:t>教育局</w:t>
      </w:r>
      <w:r>
        <w:rPr>
          <w:rFonts w:hint="default" w:ascii="仿宋_GB2312" w:hAnsi="微软雅黑" w:eastAsia="仿宋_GB2312" w:cs="仿宋_GB2312"/>
          <w:b w:val="0"/>
          <w:i w:val="0"/>
          <w:caps w:val="0"/>
          <w:color w:val="666666"/>
          <w:spacing w:val="0"/>
          <w:sz w:val="31"/>
          <w:szCs w:val="31"/>
          <w:bdr w:val="none" w:color="auto" w:sz="0" w:space="0"/>
          <w:shd w:val="clear" w:fill="FFFFFF"/>
        </w:rPr>
        <w:t>印章。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 第八条</w:t>
      </w:r>
      <w:r>
        <w:rPr>
          <w:rFonts w:hint="default" w:ascii="仿宋_GB2312" w:hAnsi="微软雅黑" w:eastAsia="仿宋_GB2312" w:cs="仿宋_GB2312"/>
          <w:b w:val="0"/>
          <w:i w:val="0"/>
          <w:caps w:val="0"/>
          <w:color w:val="666666"/>
          <w:spacing w:val="0"/>
          <w:sz w:val="31"/>
          <w:szCs w:val="31"/>
          <w:bdr w:val="none" w:color="auto" w:sz="0" w:space="0"/>
          <w:shd w:val="clear" w:fill="FFFFFF"/>
        </w:rPr>
        <w:t> 执法票据类文书必须准确载明案由，收支货币的金额、数量;没收物品的名称、数量、规格、特征;填写票据的时间及填写人姓名和相对人名称(姓名)，必须具备有效印鉴。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第九条</w:t>
      </w:r>
      <w:r>
        <w:rPr>
          <w:rFonts w:hint="default" w:ascii="仿宋_GB2312" w:hAnsi="微软雅黑" w:eastAsia="仿宋_GB2312" w:cs="仿宋_GB2312"/>
          <w:b w:val="0"/>
          <w:i w:val="0"/>
          <w:caps w:val="0"/>
          <w:color w:val="666666"/>
          <w:spacing w:val="0"/>
          <w:sz w:val="31"/>
          <w:szCs w:val="31"/>
          <w:bdr w:val="none" w:color="auto" w:sz="0" w:space="0"/>
          <w:shd w:val="clear" w:fill="FFFFFF"/>
        </w:rPr>
        <w:t> 凡行政执法、行政复议、行政诉讼及听证程序中形成的文字材料、视听材料、物证(含证物照片)。统计报表等均属立卷归档范围。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 第十条</w:t>
      </w:r>
      <w:r>
        <w:rPr>
          <w:rFonts w:hint="default" w:ascii="仿宋_GB2312" w:hAnsi="微软雅黑" w:eastAsia="仿宋_GB2312" w:cs="仿宋_GB2312"/>
          <w:b w:val="0"/>
          <w:i w:val="0"/>
          <w:caps w:val="0"/>
          <w:color w:val="666666"/>
          <w:spacing w:val="0"/>
          <w:sz w:val="31"/>
          <w:szCs w:val="31"/>
          <w:bdr w:val="none" w:color="auto" w:sz="0" w:space="0"/>
          <w:shd w:val="clear" w:fill="FFFFFF"/>
        </w:rPr>
        <w:t> 凡适用一般程序的行政处罚案件，必须一案一卷。按照立案、取证、审理、送达、执行、结案的顺序装订。遇有行政复议，行政诉讼的材料作为附件一并装订。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第十一条</w:t>
      </w:r>
      <w:r>
        <w:rPr>
          <w:rFonts w:hint="default" w:ascii="仿宋_GB2312" w:hAnsi="微软雅黑" w:eastAsia="仿宋_GB2312" w:cs="仿宋_GB2312"/>
          <w:b w:val="0"/>
          <w:i w:val="0"/>
          <w:caps w:val="0"/>
          <w:color w:val="666666"/>
          <w:spacing w:val="0"/>
          <w:sz w:val="31"/>
          <w:szCs w:val="31"/>
          <w:bdr w:val="none" w:color="auto" w:sz="0" w:space="0"/>
          <w:shd w:val="clear" w:fill="FFFFFF"/>
        </w:rPr>
        <w:t> 执法案卷要使用局统一的卷皮、卷目组卷。书写工具一律采用钢笔或签字笔，字迹工整、清晰，对破损的材料要托裱。案卷应采用三孔一线的方法装订，文字材料不得倒装、反装。卷内材料应依次用阿拉伯数字在每页的右上角(背面有字的在左上角)编写页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执法案卷封皮应按规定逐项填写清楚，按规定格式逐件填写卷内目标。对文字材料的标准，不得随意更改或简化。没有标题的，应补拟能确切反映卷内文件内容的标题。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第十二条</w:t>
      </w:r>
      <w:r>
        <w:rPr>
          <w:rFonts w:hint="default" w:ascii="仿宋_GB2312" w:hAnsi="微软雅黑" w:eastAsia="仿宋_GB2312" w:cs="仿宋_GB2312"/>
          <w:b w:val="0"/>
          <w:i w:val="0"/>
          <w:caps w:val="0"/>
          <w:color w:val="666666"/>
          <w:spacing w:val="0"/>
          <w:sz w:val="31"/>
          <w:szCs w:val="31"/>
          <w:bdr w:val="none" w:color="auto" w:sz="0" w:space="0"/>
          <w:shd w:val="clear" w:fill="FFFFFF"/>
        </w:rPr>
        <w:t> 案件办理终结，应将案件材料装订成卷。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第十三条</w:t>
      </w:r>
      <w:r>
        <w:rPr>
          <w:rFonts w:hint="default" w:ascii="仿宋_GB2312" w:hAnsi="微软雅黑" w:eastAsia="仿宋_GB2312" w:cs="仿宋_GB2312"/>
          <w:b w:val="0"/>
          <w:i w:val="0"/>
          <w:caps w:val="0"/>
          <w:color w:val="666666"/>
          <w:spacing w:val="0"/>
          <w:sz w:val="31"/>
          <w:szCs w:val="31"/>
          <w:bdr w:val="none" w:color="auto" w:sz="0" w:space="0"/>
          <w:shd w:val="clear" w:fill="FFFFFF"/>
        </w:rPr>
        <w:t> 查借阅案卷档案实行登记审批制，须统一填写《查借阅案卷档案审批表》。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第十四条</w:t>
      </w:r>
      <w:r>
        <w:rPr>
          <w:rFonts w:hint="default" w:ascii="仿宋_GB2312" w:hAnsi="微软雅黑" w:eastAsia="仿宋_GB2312" w:cs="仿宋_GB2312"/>
          <w:b w:val="0"/>
          <w:i w:val="0"/>
          <w:caps w:val="0"/>
          <w:color w:val="666666"/>
          <w:spacing w:val="0"/>
          <w:sz w:val="31"/>
          <w:szCs w:val="31"/>
          <w:bdr w:val="none" w:color="auto" w:sz="0" w:space="0"/>
          <w:shd w:val="clear" w:fill="FFFFFF"/>
        </w:rPr>
        <w:t> 查借阅已归档案卷必须出具相关证件。外单位及个人查借阅案卷应当开具介绍信，并加盖公章，注明阅档人姓名、阅档原因及所阅案卷行政相对人，阅档人提供身份证原件及复印件。委托他人办理的，受委托人需持委托人委托书及本人身份证原件及复印件。本局工作人员查借阅案卷，必须持本人工作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第十五条</w:t>
      </w:r>
      <w:r>
        <w:rPr>
          <w:rFonts w:hint="default" w:ascii="仿宋_GB2312" w:hAnsi="微软雅黑" w:eastAsia="仿宋_GB2312" w:cs="仿宋_GB2312"/>
          <w:b w:val="0"/>
          <w:i w:val="0"/>
          <w:caps w:val="0"/>
          <w:color w:val="666666"/>
          <w:spacing w:val="0"/>
          <w:sz w:val="31"/>
          <w:szCs w:val="31"/>
          <w:bdr w:val="none" w:color="auto" w:sz="0" w:space="0"/>
          <w:shd w:val="clear" w:fill="FFFFFF"/>
        </w:rPr>
        <w:t> 查借阅案卷档案一般限在档案阅览室。案卷原件不得借出给外单位或者个人。如有特殊情况需要借出时，须经档案管理单位主要领导批准，履行登记手续后方可借出。借出档案应于一周内归还，不能按期归还者应向档案办公室说明原因。借阅档案不准再转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 第十六条</w:t>
      </w:r>
      <w:r>
        <w:rPr>
          <w:rFonts w:hint="default" w:ascii="仿宋_GB2312" w:hAnsi="微软雅黑" w:eastAsia="仿宋_GB2312" w:cs="仿宋_GB2312"/>
          <w:b w:val="0"/>
          <w:i w:val="0"/>
          <w:caps w:val="0"/>
          <w:color w:val="666666"/>
          <w:spacing w:val="0"/>
          <w:sz w:val="31"/>
          <w:szCs w:val="31"/>
          <w:bdr w:val="none" w:color="auto" w:sz="0" w:space="0"/>
          <w:shd w:val="clear" w:fill="FFFFFF"/>
        </w:rPr>
        <w:t> 决定类执法文书经审批后复制给外单位或者个人，其余案卷材料不得查阅、复制、拍照等。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Style w:val="6"/>
          <w:rFonts w:hint="eastAsia" w:ascii="黑体" w:hAnsi="宋体" w:eastAsia="黑体" w:cs="黑体"/>
          <w:i w:val="0"/>
          <w:caps w:val="0"/>
          <w:color w:val="666666"/>
          <w:spacing w:val="0"/>
          <w:sz w:val="31"/>
          <w:szCs w:val="31"/>
          <w:bdr w:val="none" w:color="auto" w:sz="0" w:space="0"/>
          <w:shd w:val="clear" w:fill="FFFFFF"/>
        </w:rPr>
        <w:t>第十七条 </w:t>
      </w:r>
      <w:r>
        <w:rPr>
          <w:rFonts w:hint="default" w:ascii="仿宋_GB2312" w:hAnsi="微软雅黑" w:eastAsia="仿宋_GB2312" w:cs="仿宋_GB2312"/>
          <w:b w:val="0"/>
          <w:i w:val="0"/>
          <w:caps w:val="0"/>
          <w:color w:val="666666"/>
          <w:spacing w:val="0"/>
          <w:sz w:val="31"/>
          <w:szCs w:val="31"/>
          <w:bdr w:val="none" w:color="auto" w:sz="0" w:space="0"/>
          <w:shd w:val="clear" w:fill="FFFFFF"/>
        </w:rPr>
        <w:t> 经档案单位同意复制的档案资料，经校对、盖章以后生效。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Fonts w:hint="eastAsia" w:ascii="黑体" w:hAnsi="宋体" w:eastAsia="黑体" w:cs="黑体"/>
          <w:b w:val="0"/>
          <w:i w:val="0"/>
          <w:caps w:val="0"/>
          <w:color w:val="666666"/>
          <w:spacing w:val="0"/>
          <w:sz w:val="31"/>
          <w:szCs w:val="31"/>
          <w:bdr w:val="none" w:color="auto" w:sz="0" w:space="0"/>
          <w:shd w:val="clear" w:fill="FFFFFF"/>
        </w:rPr>
        <w:t> 第十八条</w:t>
      </w:r>
      <w:r>
        <w:rPr>
          <w:rFonts w:hint="default" w:ascii="仿宋_GB2312" w:hAnsi="微软雅黑" w:eastAsia="仿宋_GB2312" w:cs="仿宋_GB2312"/>
          <w:b w:val="0"/>
          <w:i w:val="0"/>
          <w:caps w:val="0"/>
          <w:color w:val="666666"/>
          <w:spacing w:val="0"/>
          <w:sz w:val="31"/>
          <w:szCs w:val="31"/>
          <w:bdr w:val="none" w:color="auto" w:sz="0" w:space="0"/>
          <w:shd w:val="clear" w:fill="FFFFFF"/>
        </w:rPr>
        <w:t> 阅档人应严格遵守保密制度，保证档案的安全,不得向他人泄露档案内容。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Fonts w:hint="eastAsia" w:ascii="黑体" w:hAnsi="宋体" w:eastAsia="黑体" w:cs="黑体"/>
          <w:b w:val="0"/>
          <w:i w:val="0"/>
          <w:caps w:val="0"/>
          <w:color w:val="666666"/>
          <w:spacing w:val="0"/>
          <w:sz w:val="31"/>
          <w:szCs w:val="31"/>
          <w:bdr w:val="none" w:color="auto" w:sz="0" w:space="0"/>
          <w:shd w:val="clear" w:fill="FFFFFF"/>
        </w:rPr>
        <w:t>第十九条</w:t>
      </w:r>
      <w:r>
        <w:rPr>
          <w:rFonts w:hint="default" w:ascii="仿宋_GB2312" w:hAnsi="微软雅黑" w:eastAsia="仿宋_GB2312" w:cs="仿宋_GB2312"/>
          <w:b w:val="0"/>
          <w:i w:val="0"/>
          <w:caps w:val="0"/>
          <w:color w:val="666666"/>
          <w:spacing w:val="0"/>
          <w:sz w:val="31"/>
          <w:szCs w:val="31"/>
          <w:bdr w:val="none" w:color="auto" w:sz="0" w:space="0"/>
          <w:shd w:val="clear" w:fill="FFFFFF"/>
        </w:rPr>
        <w:t> 阅档人必须具有高度责任感，对待档案材料要认真负责。阅档时对档案内容不得涂改、添注、勾划，不得随意抽出或增加档案材料。查阅两份以上档案时，不要同时打开，以防装错或丢失。如果发现档案中有问题，应及时向档案工作人员报告，由档案管理部门按有关规定处理，阅档人不得擅自进行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95" w:lineRule="atLeast"/>
        <w:ind w:left="0" w:right="0" w:firstLine="0"/>
        <w:jc w:val="both"/>
        <w:rPr>
          <w:color w:val="666666"/>
          <w:sz w:val="22"/>
          <w:szCs w:val="22"/>
        </w:rPr>
      </w:pPr>
      <w:r>
        <w:rPr>
          <w:rFonts w:hint="default" w:ascii="仿宋_GB2312" w:hAnsi="微软雅黑" w:eastAsia="仿宋_GB2312" w:cs="仿宋_GB2312"/>
          <w:b w:val="0"/>
          <w:i w:val="0"/>
          <w:caps w:val="0"/>
          <w:color w:val="666666"/>
          <w:spacing w:val="0"/>
          <w:sz w:val="31"/>
          <w:szCs w:val="31"/>
          <w:bdr w:val="none" w:color="auto" w:sz="0" w:space="0"/>
          <w:shd w:val="clear" w:fill="FFFFFF"/>
        </w:rPr>
        <w:t>    </w:t>
      </w:r>
      <w:r>
        <w:rPr>
          <w:rFonts w:hint="eastAsia" w:ascii="黑体" w:hAnsi="宋体" w:eastAsia="黑体" w:cs="黑体"/>
          <w:b w:val="0"/>
          <w:i w:val="0"/>
          <w:caps w:val="0"/>
          <w:color w:val="666666"/>
          <w:spacing w:val="0"/>
          <w:sz w:val="31"/>
          <w:szCs w:val="31"/>
          <w:bdr w:val="none" w:color="auto" w:sz="0" w:space="0"/>
          <w:shd w:val="clear" w:fill="FFFFFF"/>
        </w:rPr>
        <w:t>第二十条</w:t>
      </w:r>
      <w:r>
        <w:rPr>
          <w:rFonts w:hint="default" w:ascii="仿宋_GB2312" w:hAnsi="微软雅黑" w:eastAsia="仿宋_GB2312" w:cs="仿宋_GB2312"/>
          <w:b w:val="0"/>
          <w:i w:val="0"/>
          <w:caps w:val="0"/>
          <w:color w:val="666666"/>
          <w:spacing w:val="0"/>
          <w:sz w:val="31"/>
          <w:szCs w:val="31"/>
          <w:bdr w:val="none" w:color="auto" w:sz="0" w:space="0"/>
          <w:shd w:val="clear" w:fill="FFFFFF"/>
        </w:rPr>
        <w:t> 简易程序的备案联保存五年;一般程序的案卷保存十五年;重大复杂的行政执法案卷保存二十年。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line="450" w:lineRule="atLeast"/>
        <w:ind w:left="0" w:right="0" w:firstLine="0"/>
        <w:jc w:val="left"/>
        <w:rPr>
          <w:color w:val="666666"/>
          <w:sz w:val="22"/>
          <w:szCs w:val="22"/>
        </w:rPr>
      </w:pPr>
      <w:r>
        <w:rPr>
          <w:rFonts w:hint="eastAsia" w:ascii="黑体" w:hAnsi="宋体" w:eastAsia="黑体" w:cs="黑体"/>
          <w:b w:val="0"/>
          <w:i w:val="0"/>
          <w:caps w:val="0"/>
          <w:color w:val="666666"/>
          <w:spacing w:val="0"/>
          <w:sz w:val="31"/>
          <w:szCs w:val="31"/>
          <w:bdr w:val="none" w:color="auto" w:sz="0" w:space="0"/>
          <w:shd w:val="clear" w:fill="FFFFFF"/>
        </w:rPr>
        <w:t>    第二十一条</w:t>
      </w:r>
      <w:r>
        <w:rPr>
          <w:rFonts w:hint="default" w:ascii="仿宋_GB2312" w:hAnsi="微软雅黑" w:eastAsia="仿宋_GB2312" w:cs="仿宋_GB2312"/>
          <w:b w:val="0"/>
          <w:i w:val="0"/>
          <w:caps w:val="0"/>
          <w:color w:val="666666"/>
          <w:spacing w:val="0"/>
          <w:sz w:val="31"/>
          <w:szCs w:val="31"/>
          <w:bdr w:val="none" w:color="auto" w:sz="0" w:space="0"/>
          <w:shd w:val="clear" w:fill="FFFFFF"/>
        </w:rPr>
        <w:t> 本制度自印发之日起施行。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icon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62A0C"/>
    <w:rsid w:val="21213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Administrator.PC-20160109QMLX</dc:creator>
  <cp:lastModifiedBy>木槿</cp:lastModifiedBy>
  <dcterms:modified xsi:type="dcterms:W3CDTF">2020-05-06T02:22:45Z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